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8D6A5C1" w:rsidR="00A27829" w:rsidRPr="00885678" w:rsidRDefault="00885678" w:rsidP="00A27829">
      <w:pPr>
        <w:pStyle w:val="Head"/>
      </w:pPr>
      <w:r>
        <w:t xml:space="preserve">O Wirtgen Group na Bauma: “The Future in Roadbuilding – Smart. Safe. Sustainable” </w:t>
      </w:r>
    </w:p>
    <w:p w14:paraId="26F0996C" w14:textId="7B4091FD" w:rsidR="00A46F1E" w:rsidRPr="00885678" w:rsidRDefault="00AA5014" w:rsidP="00881E44">
      <w:pPr>
        <w:pStyle w:val="Subhead"/>
      </w:pPr>
      <w:r>
        <w:t>Mais de 90 máquinas em exposição e 33 estreias mundiais em 13.000 m².</w:t>
      </w:r>
    </w:p>
    <w:p w14:paraId="009AA16D" w14:textId="31A0E005" w:rsidR="00E24215" w:rsidRDefault="00885678" w:rsidP="00E24215">
      <w:pPr>
        <w:pStyle w:val="Teaser"/>
      </w:pPr>
      <w:r>
        <w:t xml:space="preserve">O Wirtgen Group apresentará sua alta força inovadora em Munique com soluções sustentáveis e, assim, pioneiras para a construção de estradas. Como impulsionador e segundo maior expositor do setor, ele aparecerá mais uma vez junto com a John Deere. O lema conjunto para a feira é: “The Future in Roadbuilding – Smart. Safe. Sustainable.” (O futuro na construção de estradas – Inteligente. Seguro. Sustentável) </w:t>
      </w:r>
    </w:p>
    <w:p w14:paraId="01FE5DB2" w14:textId="77777777" w:rsidR="00E24215" w:rsidRDefault="00E24215" w:rsidP="00E24215">
      <w:pPr>
        <w:pStyle w:val="Teaser"/>
      </w:pPr>
    </w:p>
    <w:p w14:paraId="70246DC3" w14:textId="77777777" w:rsidR="00E24215" w:rsidRDefault="00177214" w:rsidP="00E24215">
      <w:pPr>
        <w:pStyle w:val="Teaser"/>
      </w:pPr>
      <w:r>
        <w:t xml:space="preserve">Construção sustentável de estradas em foco  </w:t>
      </w:r>
    </w:p>
    <w:p w14:paraId="44ACC25D" w14:textId="21C064EC" w:rsidR="005D29B1" w:rsidRDefault="005D29B1" w:rsidP="00E24215">
      <w:pPr>
        <w:pStyle w:val="Teaser"/>
        <w:rPr>
          <w:b w:val="0"/>
          <w:bCs/>
        </w:rPr>
      </w:pPr>
      <w:r>
        <w:t xml:space="preserve">O Wirtgen Group apoia seus clientes no atendimento rápido e econômico da demanda cada vez maior por infraestrutura e no cumprimento dos </w:t>
      </w:r>
      <w:bookmarkStart w:id="0" w:name="_Hlk103702274"/>
      <w:r>
        <w:t xml:space="preserve">crescentes </w:t>
      </w:r>
      <w:bookmarkEnd w:id="0"/>
      <w:r>
        <w:t>requisitos de critérios de licitação em termos de proteção ambiental e segurança para as pessoas e a natureza de hoje em dia.</w:t>
      </w:r>
      <w:r>
        <w:rPr>
          <w:b w:val="0"/>
        </w:rPr>
        <w:t xml:space="preserve"> Isso inclui não apenas soluções para máquinas individuais e suas tecnologias de acionamento, mas também para sistemas completos de produção na construção de estradas.</w:t>
      </w:r>
    </w:p>
    <w:p w14:paraId="7F739846" w14:textId="2D52D65A" w:rsidR="005D29B1" w:rsidRDefault="0052300F" w:rsidP="005D29B1">
      <w:pPr>
        <w:pStyle w:val="Standardabsatz"/>
        <w:spacing w:after="0"/>
        <w:rPr>
          <w:b/>
          <w:bCs/>
        </w:rPr>
      </w:pPr>
      <w:r>
        <w:rPr>
          <w:b/>
        </w:rPr>
        <w:t xml:space="preserve">Sistemas de produção inteligentes em uma área de exposição separada </w:t>
      </w:r>
    </w:p>
    <w:p w14:paraId="684C6270" w14:textId="7486D3D6" w:rsidR="00BD25D1" w:rsidRPr="009853B6" w:rsidRDefault="0012631C" w:rsidP="00BD25D1">
      <w:pPr>
        <w:pStyle w:val="Standardabsatz"/>
      </w:pPr>
      <w:r>
        <w:t xml:space="preserve">O Wirtgen Group considera todo o processo de construção de estradas, pois é nisso que reside o maior potencial ecológico e econômico. As soluções de sistema do Wirtgen Group abrangem toda a cadeia de processo, e um panorama delas será apresentado em uma área de exposição separada. Desse modo, os visitantes obterão informações sobre como os clientes podem implementar seus projetos de construção de estradas de forma sustentável e econômica através da interação eficiente de máquinas de construção e soluções técnicas das marcas especializadas de produtos Wirtgen, Vögele, Hamm, Kleemann e Benninghoven. </w:t>
      </w:r>
    </w:p>
    <w:p w14:paraId="55696270" w14:textId="363AD8C0" w:rsidR="00BD25D1" w:rsidRPr="001C7305" w:rsidRDefault="00DB2E75" w:rsidP="00754B80">
      <w:pPr>
        <w:pStyle w:val="Absatzberschrift"/>
      </w:pPr>
      <w:r>
        <w:t>A digitalização como força motriz da segurança e da sustentabilidade</w:t>
      </w:r>
    </w:p>
    <w:p w14:paraId="34E892D3" w14:textId="1F299389" w:rsidR="00461FED" w:rsidRDefault="00DB2E75" w:rsidP="001C7305">
      <w:pPr>
        <w:pStyle w:val="Standardabsatz"/>
      </w:pPr>
      <w:r>
        <w:t>Além da eficiência das máquinas e dos métodos alternativos de aplicação, a digitalização e as soluções de sistemas em rede são fatores importantes para o desenvolvimento do processo como um todo na construção de estradas. Na chamada Technology Zone (Zona Tecnológica), o Wirtgen Group mostrará tecnologias centrais específicas para aplicações, assim como soluções digitais já disponíveis hoje e tecnologias do futuro.</w:t>
      </w:r>
    </w:p>
    <w:p w14:paraId="1D1ABCAD" w14:textId="77777777" w:rsidR="00461FED" w:rsidRPr="00461FED" w:rsidRDefault="00461FED" w:rsidP="00461FED">
      <w:pPr>
        <w:spacing w:line="276" w:lineRule="auto"/>
        <w:contextualSpacing/>
        <w:rPr>
          <w:rFonts w:cs="Calibri"/>
          <w:b/>
          <w:bCs/>
          <w:sz w:val="22"/>
          <w:szCs w:val="22"/>
        </w:rPr>
      </w:pPr>
      <w:r>
        <w:rPr>
          <w:b/>
          <w:sz w:val="22"/>
        </w:rPr>
        <w:t>O Wirtgen Group com sua própria estratégia de sustentabilidade</w:t>
      </w:r>
    </w:p>
    <w:p w14:paraId="3CDB2478" w14:textId="77777777" w:rsidR="007A5ABA" w:rsidRDefault="007A6607" w:rsidP="00D75BA3">
      <w:pPr>
        <w:spacing w:line="276" w:lineRule="auto"/>
        <w:jc w:val="both"/>
        <w:rPr>
          <w:sz w:val="22"/>
        </w:rPr>
      </w:pPr>
      <w:r>
        <w:rPr>
          <w:sz w:val="22"/>
        </w:rPr>
        <w:t>O Wirtgen Group é pioneiro quando o assunto é mais mobilidade na construção de estradas. A sustentabilidade é um pilar fundamental da estratégia corporativa. Como parte da unidade de negócios Construction and Forestry da John Deere, os objetivos de sustentabilidade do Wirtgen Group contribuem para a estratégia geral. Entre outras coisas, as emissões de CO</w:t>
      </w:r>
      <w:r>
        <w:rPr>
          <w:sz w:val="22"/>
          <w:vertAlign w:val="subscript"/>
        </w:rPr>
        <w:t>2</w:t>
      </w:r>
      <w:r>
        <w:rPr>
          <w:sz w:val="22"/>
        </w:rPr>
        <w:t xml:space="preserve">e do transporte e do uso de máquinas de construção, bem como da operação geral das próprias fábricas e unidades da empresa deverão ser reduzidas significativamente até 2030. </w:t>
      </w:r>
    </w:p>
    <w:p w14:paraId="172DB497" w14:textId="7E90F919" w:rsidR="000649AF" w:rsidRDefault="007A6607" w:rsidP="007A5ABA">
      <w:pPr>
        <w:spacing w:line="276" w:lineRule="auto"/>
        <w:jc w:val="both"/>
        <w:rPr>
          <w:sz w:val="22"/>
        </w:rPr>
      </w:pPr>
      <w:r>
        <w:rPr>
          <w:sz w:val="22"/>
        </w:rPr>
        <w:lastRenderedPageBreak/>
        <w:t>Ao mesmo tempo, o número de máquinas e soluções de tecnologias sustentáveis aumentará continuamente até 2026. Os visitantes do estande do Wirtgen Group podem saber mais sobre os objetivos de sustentabilidade em uma exposição dedicada no terraço do telhado da Technology Zone.</w:t>
      </w:r>
    </w:p>
    <w:p w14:paraId="1AB12AC5" w14:textId="77777777" w:rsidR="007A5ABA" w:rsidRDefault="007A5ABA" w:rsidP="007A5ABA">
      <w:pPr>
        <w:spacing w:line="276" w:lineRule="auto"/>
        <w:jc w:val="both"/>
        <w:rPr>
          <w:rFonts w:eastAsiaTheme="minorHAnsi" w:cstheme="minorBidi"/>
          <w:b/>
          <w:sz w:val="22"/>
          <w:szCs w:val="24"/>
        </w:rPr>
      </w:pPr>
    </w:p>
    <w:p w14:paraId="6F696BAE" w14:textId="4FA56558" w:rsidR="006D6CC6" w:rsidRDefault="00AE4AB4" w:rsidP="006D6CC6">
      <w:pPr>
        <w:pStyle w:val="Absatzberschrift"/>
      </w:pPr>
      <w:r>
        <w:t>Estreias mundiais e inovações para cada marca de produto</w:t>
      </w:r>
    </w:p>
    <w:p w14:paraId="3568E73E" w14:textId="77777777" w:rsidR="009D4AF0" w:rsidRDefault="00FE2795" w:rsidP="00725442">
      <w:pPr>
        <w:pStyle w:val="Standardabsatz"/>
      </w:pPr>
      <w:r>
        <w:t xml:space="preserve">A orientação sustentável do Wirtgen Group também se reflete nas estreias mundiais e inovações de suas marcas. </w:t>
      </w:r>
    </w:p>
    <w:p w14:paraId="3F57AEBE" w14:textId="64235DD9" w:rsidR="00337387" w:rsidRDefault="00283D98" w:rsidP="00725442">
      <w:pPr>
        <w:pStyle w:val="Standardabsatz"/>
      </w:pPr>
      <w:r>
        <w:t xml:space="preserve">O sistema de controle de máquinas Mill Assist, por exemplo, agora também garante o funcionamento sustentável e eficiente das máquinas da nova geração de fresadoras compactas da </w:t>
      </w:r>
      <w:r>
        <w:rPr>
          <w:b/>
          <w:bCs/>
        </w:rPr>
        <w:t>Wirtgen</w:t>
      </w:r>
      <w:r>
        <w:t xml:space="preserve">. Com a usina de reciclagem a frio KMA 240i, agora também é possível produzir camadas de base ligadas hidraulicamente, além de misturas de alta qualidade, a partir de materiais de construção reciclados. </w:t>
      </w:r>
    </w:p>
    <w:p w14:paraId="58B198BC" w14:textId="77777777" w:rsidR="007A5ABA" w:rsidRDefault="007A5ABA" w:rsidP="007A5ABA">
      <w:pPr>
        <w:pStyle w:val="Standardabsatz"/>
      </w:pPr>
      <w:r>
        <w:t xml:space="preserve">As pavimentadoras da nova geração “Strich 5” demonstram que o verde é mais do que apenas uma cor nas máquinas da </w:t>
      </w:r>
      <w:r>
        <w:rPr>
          <w:b/>
          <w:bCs/>
        </w:rPr>
        <w:t>Vögele</w:t>
      </w:r>
      <w:r>
        <w:t>. Em exposição estarão as vibroacabadoras SUPER 1900-5(i) e SUPER 2100-5(i) da Classe Highway, assim como as mesas extensíveis AB 500 e AB 600 de última geração.</w:t>
      </w:r>
    </w:p>
    <w:p w14:paraId="6324D971" w14:textId="21183D42" w:rsidR="00337387" w:rsidRDefault="00F20E0A" w:rsidP="00725442">
      <w:pPr>
        <w:pStyle w:val="Standardabsatz"/>
      </w:pPr>
      <w:r>
        <w:t xml:space="preserve">No futuro, os rolos tandem </w:t>
      </w:r>
      <w:r>
        <w:rPr>
          <w:b/>
          <w:bCs/>
        </w:rPr>
        <w:t>Hamm</w:t>
      </w:r>
      <w:r>
        <w:t xml:space="preserve"> com acionamento elétrico da série HD CompactLine, poderão assumir a compactação onde for necessário e de forma completamente livre de emissões. Os rolos compactadores tandem elétricos são ideais para todas as áreas em que é necessária uma compactação particularmente silenciosa. Como isso muitas vezes requer uma baixa carga de vibração, a especialista em compactação está apresentando rolos de oscilação e vibração eletrônicos, além de rolos eletrônicos combinados.</w:t>
      </w:r>
    </w:p>
    <w:p w14:paraId="566EE77F" w14:textId="7F635BBB" w:rsidR="00337387" w:rsidRDefault="000A65B5" w:rsidP="00725442">
      <w:pPr>
        <w:pStyle w:val="Standardabsatz"/>
      </w:pPr>
      <w:r>
        <w:t xml:space="preserve">O novo britador de impacto MOBIREX MR 130(i) PRO da </w:t>
      </w:r>
      <w:r>
        <w:rPr>
          <w:b/>
          <w:bCs/>
        </w:rPr>
        <w:t>Kleemann</w:t>
      </w:r>
      <w:r>
        <w:t xml:space="preserve"> é totalmente elétrico. Com a opção de alimentação externa, a usina garante baixo consumo de energia por tonelada de produto final durante o processamento do material. </w:t>
      </w:r>
    </w:p>
    <w:p w14:paraId="65CA085B" w14:textId="1BC652F1" w:rsidR="00337387" w:rsidRDefault="00725442" w:rsidP="00725442">
      <w:pPr>
        <w:pStyle w:val="Standardabsatz"/>
      </w:pPr>
      <w:r>
        <w:t xml:space="preserve">Para a produção sustentável de asfalto com usinas de mistura no processo de produção descontínua (por lote), a </w:t>
      </w:r>
      <w:r>
        <w:rPr>
          <w:b/>
          <w:bCs/>
        </w:rPr>
        <w:t>Benninghoven</w:t>
      </w:r>
      <w:r>
        <w:t xml:space="preserve"> mostrará, entre outros, o inovador sistema Revoc. Combustíveis renováveis como Biomass to Liquid (BtL) e pó de madeira podem ser usados com o queimador multicombustível EVO JET. Ambos os combustíveis têm um balanço neutro de CO</w:t>
      </w:r>
      <w:r>
        <w:rPr>
          <w:vertAlign w:val="subscript"/>
        </w:rPr>
        <w:t>2</w:t>
      </w:r>
      <w:r>
        <w:t>. Para o armazenamento de betume, que também é neutro em CO</w:t>
      </w:r>
      <w:r>
        <w:rPr>
          <w:vertAlign w:val="subscript"/>
        </w:rPr>
        <w:t>2</w:t>
      </w:r>
      <w:r>
        <w:t xml:space="preserve">, a </w:t>
      </w:r>
      <w:r w:rsidRPr="007A5ABA">
        <w:t>Benninghoven</w:t>
      </w:r>
      <w:r>
        <w:t xml:space="preserve"> oferece tanques de betume com aquecimento elétrico. </w:t>
      </w:r>
    </w:p>
    <w:p w14:paraId="4DE781AF" w14:textId="463008CC" w:rsidR="006D6CC6" w:rsidRDefault="00D51F02" w:rsidP="00337387">
      <w:pPr>
        <w:pStyle w:val="Standardabsatz"/>
      </w:pPr>
      <w:r>
        <w:t xml:space="preserve">Além disso, o Wirtgen Group apresentará pela primeira vez a iNova 2000, uma usina de mistura de asfalto da </w:t>
      </w:r>
      <w:r>
        <w:rPr>
          <w:b/>
          <w:bCs/>
        </w:rPr>
        <w:t>Ciber</w:t>
      </w:r>
      <w:r>
        <w:t xml:space="preserve"> para o mercado mundial. A Ciber é a principal fabricante de usinas de asfalto para o processo de produção contínua (Continuous) na América Latina. Em mercados onde ambos os processos – por lote e contínuo – são usados, a Ciber, como a 6ª marca de produtos do Wirtgen Group, complementa o portfólio do Grupo para usinas de asfalto específicas.</w:t>
      </w:r>
    </w:p>
    <w:p w14:paraId="07D2E005" w14:textId="72069860" w:rsidR="00337387" w:rsidRPr="00337387" w:rsidRDefault="00337387" w:rsidP="00337387">
      <w:pPr>
        <w:pStyle w:val="Standardabsatz"/>
      </w:pPr>
      <w:r>
        <w:t xml:space="preserve">A </w:t>
      </w:r>
      <w:r>
        <w:rPr>
          <w:b/>
        </w:rPr>
        <w:t>John Deere</w:t>
      </w:r>
      <w:r>
        <w:t xml:space="preserve"> chegará à feira com uma seleção de máquinas de construção e tecnologias relacionadas adaptadas ao mercado europeu e que complementam o portfólio do Wirtgen Group.</w:t>
      </w:r>
    </w:p>
    <w:p w14:paraId="62557CA1" w14:textId="77777777" w:rsidR="00337387" w:rsidRDefault="00337387">
      <w:pPr>
        <w:rPr>
          <w:rFonts w:eastAsiaTheme="minorHAnsi" w:cstheme="minorBidi"/>
          <w:b/>
          <w:sz w:val="22"/>
          <w:szCs w:val="24"/>
        </w:rPr>
      </w:pPr>
      <w:r>
        <w:br w:type="page"/>
      </w:r>
    </w:p>
    <w:p w14:paraId="31412CCB" w14:textId="6158EF17" w:rsidR="00E15EBE" w:rsidRDefault="00E15EBE" w:rsidP="00E15EBE">
      <w:pPr>
        <w:pStyle w:val="Fotos"/>
      </w:pPr>
      <w:r>
        <w:lastRenderedPageBreak/>
        <w:t xml:space="preserve">Fotos: </w:t>
      </w:r>
    </w:p>
    <w:p w14:paraId="473A888C" w14:textId="683ED5AC" w:rsidR="007A5ABA" w:rsidRPr="00D200BF" w:rsidRDefault="007A5ABA" w:rsidP="007A5ABA">
      <w:pPr>
        <w:pStyle w:val="BUbold"/>
      </w:pPr>
      <w:r>
        <w:rPr>
          <w:noProof/>
        </w:rPr>
        <w:drawing>
          <wp:inline distT="0" distB="0" distL="0" distR="0" wp14:anchorId="167A59E2" wp14:editId="273B84A7">
            <wp:extent cx="2077046" cy="13841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384142"/>
                    </a:xfrm>
                    <a:prstGeom prst="rect">
                      <a:avLst/>
                    </a:prstGeom>
                    <a:noFill/>
                    <a:ln>
                      <a:noFill/>
                    </a:ln>
                  </pic:spPr>
                </pic:pic>
              </a:graphicData>
            </a:graphic>
          </wp:inline>
        </w:drawing>
      </w:r>
      <w:r w:rsidR="00B07BAC">
        <w:tab/>
      </w:r>
      <w:r w:rsidR="00B07BAC">
        <w:tab/>
      </w:r>
      <w:r>
        <w:br/>
      </w:r>
      <w:r w:rsidR="002826DC">
        <w:t>WG_Motto_Bauma 2022_PR</w:t>
      </w:r>
      <w:r w:rsidR="002826DC">
        <w:tab/>
      </w:r>
      <w:r w:rsidR="00B07BAC">
        <w:tab/>
      </w:r>
    </w:p>
    <w:p w14:paraId="4108A041" w14:textId="6405AC28" w:rsidR="007A5ABA" w:rsidRDefault="007A5ABA" w:rsidP="007A5ABA">
      <w:pPr>
        <w:pStyle w:val="BUnormal"/>
      </w:pPr>
      <w:r w:rsidRPr="007A5ABA">
        <w:t>O Wirtgen Group na Bauma</w:t>
      </w:r>
      <w:r>
        <w:t xml:space="preserve">: </w:t>
      </w:r>
      <w:r w:rsidRPr="007A5ABA">
        <w:t>O Wirtgen Group apresentará sua alta força inovadora em Munique com soluções sustentáveis e, assim, pioneiras para a construção de estradas</w:t>
      </w:r>
      <w:r>
        <w:t>.</w:t>
      </w:r>
    </w:p>
    <w:p w14:paraId="48AA7138" w14:textId="77777777" w:rsidR="007A5ABA" w:rsidRPr="007A5ABA" w:rsidRDefault="007A5ABA" w:rsidP="007A5ABA">
      <w:pPr>
        <w:pStyle w:val="Note"/>
      </w:pPr>
    </w:p>
    <w:p w14:paraId="20879CE4" w14:textId="204F137E" w:rsidR="002611FE" w:rsidRPr="00D200BF" w:rsidRDefault="00A46F1E" w:rsidP="002611FE">
      <w:pPr>
        <w:pStyle w:val="BUbold"/>
      </w:pPr>
      <w:r>
        <w:rPr>
          <w:noProof/>
        </w:rPr>
        <w:drawing>
          <wp:inline distT="0" distB="0" distL="0" distR="0" wp14:anchorId="1B66E54E" wp14:editId="552EC7BA">
            <wp:extent cx="207704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2077046" cy="1384991"/>
                    </a:xfrm>
                    <a:prstGeom prst="rect">
                      <a:avLst/>
                    </a:prstGeom>
                    <a:noFill/>
                    <a:ln>
                      <a:noFill/>
                    </a:ln>
                  </pic:spPr>
                </pic:pic>
              </a:graphicData>
            </a:graphic>
          </wp:inline>
        </w:drawing>
      </w:r>
      <w:r>
        <w:br/>
        <w:t>W_photo_W100Fi_00003_HI</w:t>
      </w:r>
    </w:p>
    <w:p w14:paraId="257B5A26" w14:textId="653E6DBA" w:rsidR="00793A3A" w:rsidRDefault="00EC214D" w:rsidP="00175AEA">
      <w:pPr>
        <w:pStyle w:val="BUnormal"/>
      </w:pPr>
      <w:r>
        <w:t>As novas fresadoras compactas W 100 Fi, W 120 Fi e W 130 Fi da Wirtgen apresentam, entre outros, dimensões compactas e um peso otimizado que garantem um alto grau de versatilidade – mesmo em obras com espaço restrito.</w:t>
      </w:r>
    </w:p>
    <w:p w14:paraId="5492C0D9" w14:textId="06A93C4F" w:rsidR="00175AEA" w:rsidRPr="00175AEA" w:rsidRDefault="00BD25D1" w:rsidP="00175AEA">
      <w:pPr>
        <w:pStyle w:val="BUnormal"/>
      </w:pPr>
      <w:r>
        <w:t xml:space="preserve"> </w:t>
      </w:r>
    </w:p>
    <w:p w14:paraId="6EA14BFF" w14:textId="07BED714" w:rsidR="00D200BF" w:rsidRDefault="00D200BF" w:rsidP="00D200BF">
      <w:pPr>
        <w:pStyle w:val="BUbold"/>
      </w:pPr>
      <w:r>
        <w:rPr>
          <w:noProof/>
        </w:rPr>
        <w:drawing>
          <wp:inline distT="0" distB="0" distL="0" distR="0" wp14:anchorId="430AE719" wp14:editId="6053F9C7">
            <wp:extent cx="2077046"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6" cy="1384697"/>
                    </a:xfrm>
                    <a:prstGeom prst="rect">
                      <a:avLst/>
                    </a:prstGeom>
                    <a:noFill/>
                    <a:ln>
                      <a:noFill/>
                    </a:ln>
                  </pic:spPr>
                </pic:pic>
              </a:graphicData>
            </a:graphic>
          </wp:inline>
        </w:drawing>
      </w:r>
      <w:r>
        <w:br/>
        <w:t>V_PR_-5-Generation</w:t>
      </w:r>
    </w:p>
    <w:p w14:paraId="10B32123" w14:textId="79D2E6B8" w:rsidR="00D200BF" w:rsidRDefault="00D200BF" w:rsidP="00D200BF">
      <w:pPr>
        <w:pStyle w:val="BUbold"/>
        <w:rPr>
          <w:b w:val="0"/>
          <w:bCs/>
        </w:rPr>
      </w:pPr>
      <w:r>
        <w:rPr>
          <w:b w:val="0"/>
        </w:rPr>
        <w:t xml:space="preserve">A Vögele apresenta as primeiras pavimentadoras com mesas pavimentadoras adaptadas da nova geração "Strich 5".  </w:t>
      </w:r>
    </w:p>
    <w:p w14:paraId="3E2E4EFA" w14:textId="0B49F95A" w:rsidR="00D200BF" w:rsidRDefault="00D200BF" w:rsidP="00D200BF">
      <w:pPr>
        <w:pStyle w:val="BUnormal"/>
      </w:pPr>
    </w:p>
    <w:p w14:paraId="543D5FA7" w14:textId="4E8484B8" w:rsidR="00175AEA" w:rsidRPr="000B1BB3" w:rsidRDefault="00A9162D" w:rsidP="00175AEA">
      <w:pPr>
        <w:pStyle w:val="BUbold"/>
      </w:pPr>
      <w:r>
        <w:rPr>
          <w:noProof/>
        </w:rPr>
        <w:lastRenderedPageBreak/>
        <w:drawing>
          <wp:inline distT="0" distB="0" distL="0" distR="0" wp14:anchorId="243CA728" wp14:editId="03CB2737">
            <wp:extent cx="2077046" cy="1329365"/>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7046" cy="1329365"/>
                    </a:xfrm>
                    <a:prstGeom prst="rect">
                      <a:avLst/>
                    </a:prstGeom>
                    <a:noFill/>
                    <a:ln>
                      <a:noFill/>
                    </a:ln>
                  </pic:spPr>
                </pic:pic>
              </a:graphicData>
            </a:graphic>
          </wp:inline>
        </w:drawing>
      </w:r>
      <w:r>
        <w:br/>
      </w:r>
      <w:r w:rsidR="007A5ABA" w:rsidRPr="007A5ABA">
        <w:t>HAMM_HD 10e-HD 12e</w:t>
      </w:r>
      <w:r>
        <w:t xml:space="preserve"> </w:t>
      </w:r>
    </w:p>
    <w:p w14:paraId="51795031" w14:textId="11A93DFB" w:rsidR="00175AEA" w:rsidRDefault="00175AEA" w:rsidP="007A5ABA">
      <w:pPr>
        <w:pStyle w:val="BUbold"/>
        <w:rPr>
          <w:b w:val="0"/>
        </w:rPr>
      </w:pPr>
      <w:r>
        <w:rPr>
          <w:b w:val="0"/>
        </w:rPr>
        <w:t xml:space="preserve">Com oito modelos da HD CompactLine, a Hamm entra no segmento de mercado de rolos tandem com acionamento elétrico.  </w:t>
      </w:r>
    </w:p>
    <w:p w14:paraId="24BB8D4B" w14:textId="77777777" w:rsidR="007A5ABA" w:rsidRPr="007A5ABA" w:rsidRDefault="007A5ABA" w:rsidP="007A5ABA">
      <w:pPr>
        <w:pStyle w:val="BUnormal"/>
      </w:pPr>
    </w:p>
    <w:p w14:paraId="65C5FA7D" w14:textId="4216A35D" w:rsidR="00175AEA" w:rsidRPr="004B6341" w:rsidRDefault="00175AEA" w:rsidP="00175AEA">
      <w:pPr>
        <w:autoSpaceDE w:val="0"/>
        <w:autoSpaceDN w:val="0"/>
        <w:adjustRightInd w:val="0"/>
        <w:rPr>
          <w:rFonts w:eastAsia="MS Mincho"/>
          <w:b/>
          <w:sz w:val="20"/>
          <w:szCs w:val="24"/>
        </w:rPr>
      </w:pPr>
      <w:r>
        <w:rPr>
          <w:noProof/>
        </w:rPr>
        <w:drawing>
          <wp:inline distT="0" distB="0" distL="0" distR="0" wp14:anchorId="4C1B0622" wp14:editId="28BC7151">
            <wp:extent cx="1959092" cy="1384991"/>
            <wp:effectExtent l="0" t="0" r="3175"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959092" cy="1384991"/>
                    </a:xfrm>
                    <a:prstGeom prst="rect">
                      <a:avLst/>
                    </a:prstGeom>
                    <a:noFill/>
                    <a:ln>
                      <a:noFill/>
                    </a:ln>
                  </pic:spPr>
                </pic:pic>
              </a:graphicData>
            </a:graphic>
          </wp:inline>
        </w:drawing>
      </w:r>
      <w:r>
        <w:br/>
      </w:r>
      <w:r>
        <w:rPr>
          <w:b/>
          <w:sz w:val="20"/>
        </w:rPr>
        <w:t xml:space="preserve">04_hg_mr130_pro </w:t>
      </w:r>
    </w:p>
    <w:p w14:paraId="7CFE8AAD" w14:textId="6EAF54DF" w:rsidR="00175AEA" w:rsidRDefault="00175AEA" w:rsidP="00175AEA">
      <w:pPr>
        <w:pStyle w:val="Text"/>
        <w:rPr>
          <w:b/>
          <w:bCs/>
        </w:rPr>
      </w:pPr>
      <w:r>
        <w:rPr>
          <w:color w:val="000000" w:themeColor="text1"/>
          <w:sz w:val="20"/>
        </w:rPr>
        <w:t xml:space="preserve">O britador de impacto MOBIREX MR 130(i) PRO é o novo membro da família PRO-Line da Kleemann. </w:t>
      </w:r>
      <w:r>
        <w:rPr>
          <w:b/>
        </w:rPr>
        <w:t xml:space="preserve">  </w:t>
      </w:r>
    </w:p>
    <w:p w14:paraId="5757D0CB" w14:textId="77777777" w:rsidR="00793A3A" w:rsidRDefault="00793A3A" w:rsidP="00175AEA">
      <w:pPr>
        <w:pStyle w:val="Text"/>
        <w:rPr>
          <w:b/>
          <w:bCs/>
        </w:rPr>
      </w:pPr>
    </w:p>
    <w:p w14:paraId="01E329D0" w14:textId="77777777" w:rsidR="00092437" w:rsidRPr="00175AEA" w:rsidRDefault="00092437" w:rsidP="00175AEA">
      <w:pPr>
        <w:pStyle w:val="Text"/>
        <w:rPr>
          <w:bCs/>
          <w:color w:val="000000" w:themeColor="text1"/>
          <w:sz w:val="20"/>
          <w:szCs w:val="14"/>
        </w:rPr>
      </w:pPr>
    </w:p>
    <w:p w14:paraId="2D3521A7" w14:textId="4E3E5033" w:rsidR="00092437" w:rsidRPr="004B6341" w:rsidRDefault="00092437" w:rsidP="00092437">
      <w:pPr>
        <w:autoSpaceDE w:val="0"/>
        <w:autoSpaceDN w:val="0"/>
        <w:adjustRightInd w:val="0"/>
        <w:rPr>
          <w:rFonts w:eastAsia="MS Mincho"/>
          <w:b/>
          <w:sz w:val="20"/>
          <w:szCs w:val="24"/>
        </w:rPr>
      </w:pPr>
      <w:r>
        <w:rPr>
          <w:noProof/>
        </w:rPr>
        <w:drawing>
          <wp:inline distT="0" distB="0" distL="0" distR="0" wp14:anchorId="6BAFD2FF" wp14:editId="3F547F04">
            <wp:extent cx="1959092" cy="1099556"/>
            <wp:effectExtent l="0" t="0" r="317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59092" cy="1099556"/>
                    </a:xfrm>
                    <a:prstGeom prst="rect">
                      <a:avLst/>
                    </a:prstGeom>
                    <a:noFill/>
                    <a:ln>
                      <a:noFill/>
                    </a:ln>
                  </pic:spPr>
                </pic:pic>
              </a:graphicData>
            </a:graphic>
          </wp:inline>
        </w:drawing>
      </w:r>
      <w:r>
        <w:br/>
      </w:r>
      <w:r>
        <w:rPr>
          <w:b/>
          <w:sz w:val="20"/>
        </w:rPr>
        <w:t xml:space="preserve">BENNINGHOVEN_Weltpremiere REVOC-System_02 </w:t>
      </w:r>
    </w:p>
    <w:p w14:paraId="6A58CCA5" w14:textId="6D7BBED2" w:rsidR="00092437" w:rsidRPr="00175AEA" w:rsidRDefault="00A9162D" w:rsidP="00092437">
      <w:pPr>
        <w:pStyle w:val="Text"/>
        <w:rPr>
          <w:bCs/>
          <w:color w:val="000000" w:themeColor="text1"/>
          <w:sz w:val="20"/>
          <w:szCs w:val="14"/>
        </w:rPr>
      </w:pPr>
      <w:r>
        <w:rPr>
          <w:color w:val="000000" w:themeColor="text1"/>
          <w:sz w:val="20"/>
        </w:rPr>
        <w:t xml:space="preserve">O sistema REVOC da Benninghoven é uma solução para reduzir as emissões na produção de asfalto, permitindo assim que as usinas de mistura existentes trabalhem de forma mais eficiente e mais ecologicamente correta. </w:t>
      </w:r>
      <w:r>
        <w:rPr>
          <w:b/>
        </w:rPr>
        <w:t xml:space="preserve">  </w:t>
      </w:r>
    </w:p>
    <w:p w14:paraId="11675974" w14:textId="268656D9" w:rsidR="00175AEA" w:rsidRDefault="00175AEA" w:rsidP="00175AEA">
      <w:pPr>
        <w:pStyle w:val="Standardabsatz"/>
        <w:rPr>
          <w:lang w:eastAsia="de-DE"/>
        </w:rPr>
      </w:pPr>
    </w:p>
    <w:p w14:paraId="04824B2F" w14:textId="4D31484B" w:rsidR="00F74540" w:rsidRPr="006C0C87" w:rsidRDefault="00E15EBE" w:rsidP="006C0C87">
      <w:pPr>
        <w:pStyle w:val="Note"/>
      </w:pPr>
      <w:r>
        <w:t>Observação: Essas fotos servem apenas para a visualização prévia. Para impressão nas publicações, devem ser utilizadas as fotos em resolução de 300 dpi, disponíveis para download no site da Wirtgen GmbH /do Wirtgen Group.</w:t>
      </w:r>
    </w:p>
    <w:p w14:paraId="748ED4CB" w14:textId="77777777" w:rsidR="00320155" w:rsidRDefault="00320155" w:rsidP="00E15EBE">
      <w:pPr>
        <w:pStyle w:val="Absatzberschrift"/>
        <w:rPr>
          <w:iCs/>
        </w:rPr>
      </w:pPr>
    </w:p>
    <w:p w14:paraId="7C76B95F" w14:textId="77777777" w:rsidR="007A5ABA" w:rsidRDefault="007A5ABA">
      <w:pPr>
        <w:rPr>
          <w:rFonts w:eastAsiaTheme="minorHAnsi" w:cstheme="minorBidi"/>
          <w:b/>
          <w:sz w:val="22"/>
          <w:szCs w:val="24"/>
        </w:rPr>
      </w:pPr>
      <w:r>
        <w:br w:type="page"/>
      </w:r>
    </w:p>
    <w:p w14:paraId="55931FB8" w14:textId="33F94271" w:rsidR="00E15EBE" w:rsidRDefault="00E15EBE" w:rsidP="00E15EBE">
      <w:pPr>
        <w:pStyle w:val="Absatzberschrift"/>
        <w:rPr>
          <w:iCs/>
        </w:rPr>
      </w:pPr>
      <w:r>
        <w:lastRenderedPageBreak/>
        <w:t>Para mais informações, entre em contato com: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Alemanha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Telefone: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NL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r2STSykCAABSBAAADgAAAAAAAAAAAAAAAAAuAgAAZHJzL2Uyb0RvYy54&#10;bWxQSwECLQAUAAYACAAAACEAEw3vsNgAAAADAQAADwAAAAAAAAAAAAAAAACDBAAAZHJzL2Rvd25y&#10;ZXYueG1sUEsFBgAAAAAEAAQA8wAAAIgFA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Público</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A0479"/>
    <w:rsid w:val="000A36D9"/>
    <w:rsid w:val="000A4C7D"/>
    <w:rsid w:val="000A65B5"/>
    <w:rsid w:val="000B1BB3"/>
    <w:rsid w:val="000B582B"/>
    <w:rsid w:val="000D15C3"/>
    <w:rsid w:val="000E24F8"/>
    <w:rsid w:val="000E5738"/>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7305"/>
    <w:rsid w:val="001F65C7"/>
    <w:rsid w:val="00200355"/>
    <w:rsid w:val="0021351D"/>
    <w:rsid w:val="002309FC"/>
    <w:rsid w:val="00253A2E"/>
    <w:rsid w:val="00254E4C"/>
    <w:rsid w:val="002603EC"/>
    <w:rsid w:val="002611FE"/>
    <w:rsid w:val="002826DC"/>
    <w:rsid w:val="00282AFC"/>
    <w:rsid w:val="00283D98"/>
    <w:rsid w:val="00286C15"/>
    <w:rsid w:val="0029634D"/>
    <w:rsid w:val="002C7542"/>
    <w:rsid w:val="002D065C"/>
    <w:rsid w:val="002D0780"/>
    <w:rsid w:val="002D2EE5"/>
    <w:rsid w:val="002D63E6"/>
    <w:rsid w:val="002E765F"/>
    <w:rsid w:val="002E7E4E"/>
    <w:rsid w:val="002F108B"/>
    <w:rsid w:val="002F5818"/>
    <w:rsid w:val="002F70FD"/>
    <w:rsid w:val="0030316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D23D0"/>
    <w:rsid w:val="004D2BE0"/>
    <w:rsid w:val="004D3C28"/>
    <w:rsid w:val="004E6EF5"/>
    <w:rsid w:val="004F5E5D"/>
    <w:rsid w:val="00506409"/>
    <w:rsid w:val="005101B4"/>
    <w:rsid w:val="0052300F"/>
    <w:rsid w:val="00530E32"/>
    <w:rsid w:val="00533132"/>
    <w:rsid w:val="005357D0"/>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5D74"/>
    <w:rsid w:val="00774358"/>
    <w:rsid w:val="00791A69"/>
    <w:rsid w:val="00793A3A"/>
    <w:rsid w:val="0079462A"/>
    <w:rsid w:val="00794830"/>
    <w:rsid w:val="00797CAA"/>
    <w:rsid w:val="007A2B6F"/>
    <w:rsid w:val="007A5ABA"/>
    <w:rsid w:val="007A6607"/>
    <w:rsid w:val="007A6BD2"/>
    <w:rsid w:val="007C2658"/>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52853"/>
    <w:rsid w:val="009646E4"/>
    <w:rsid w:val="0097289D"/>
    <w:rsid w:val="00977EC3"/>
    <w:rsid w:val="009853B6"/>
    <w:rsid w:val="009863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F1E"/>
    <w:rsid w:val="00A50B95"/>
    <w:rsid w:val="00A66B3F"/>
    <w:rsid w:val="00A82395"/>
    <w:rsid w:val="00A9162D"/>
    <w:rsid w:val="00A9295C"/>
    <w:rsid w:val="00A95A11"/>
    <w:rsid w:val="00A977CE"/>
    <w:rsid w:val="00AA0DF7"/>
    <w:rsid w:val="00AA5014"/>
    <w:rsid w:val="00AB52F9"/>
    <w:rsid w:val="00AC0E0C"/>
    <w:rsid w:val="00AC13EA"/>
    <w:rsid w:val="00AD131F"/>
    <w:rsid w:val="00AD32D5"/>
    <w:rsid w:val="00AD70E4"/>
    <w:rsid w:val="00AE4AB4"/>
    <w:rsid w:val="00AF3B3A"/>
    <w:rsid w:val="00AF4E8E"/>
    <w:rsid w:val="00AF6569"/>
    <w:rsid w:val="00B06265"/>
    <w:rsid w:val="00B07BAC"/>
    <w:rsid w:val="00B1299E"/>
    <w:rsid w:val="00B22DF6"/>
    <w:rsid w:val="00B34767"/>
    <w:rsid w:val="00B5232A"/>
    <w:rsid w:val="00B60ED1"/>
    <w:rsid w:val="00B62CF5"/>
    <w:rsid w:val="00B85705"/>
    <w:rsid w:val="00B874DC"/>
    <w:rsid w:val="00B90F78"/>
    <w:rsid w:val="00BD1058"/>
    <w:rsid w:val="00BD25D1"/>
    <w:rsid w:val="00BD5391"/>
    <w:rsid w:val="00BD764C"/>
    <w:rsid w:val="00BE6771"/>
    <w:rsid w:val="00BF56B2"/>
    <w:rsid w:val="00C0330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1007</Words>
  <Characters>6349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7342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2021-10-28T15:19:00Z</cp:lastPrinted>
  <dcterms:created xsi:type="dcterms:W3CDTF">2022-06-13T09:23:00Z</dcterms:created>
  <dcterms:modified xsi:type="dcterms:W3CDTF">2022-06-23T11:04:00Z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ies>
</file>